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Инвестиции и управление инвестиционным портфелем</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«Инвестиции и управление инвестиционным портфелем»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«Инвестиции и управление инвестиционным портфелем».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«Инвестиции и управление инвестиционным портфелем»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определятль стоимость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нормативные правовые акты в области оценочной деятельности, основы налогового законодательства РФ, основы гражданского законодательства РФ, понятие и классификация гражданских прав</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порядок установления ценообразующих факторов и выявления качественных характеристик, влияющих на стоимость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методы организации работ по определению стоимостей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особенности рынка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структурировать и хранить документы, получаемые от заказчика и третьих лиц в ходе определения стоимостей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использовать в работе нормативные правовые акты в области оценочной деятельности, основы налогового законодательства РФ, основы гражданского законодательства РФ</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пользоваться источниками информации, выявлять и отображать ценообразующие факторы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изучение рынка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выбора методов и подходов для определения стоимостей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привлечения отраслевых экспертов для проведения исследований, требующих специальных знаний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анализа информации об организации и совокупности прав на нее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43.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«Инвестиции и управление инвестиционным портфелем» относится к обязательной части, является дисциплиной Блока Б1. «Дисциплины (модули)». Модуль "Определение стоимости организации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стоимости  ценных бумаг</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стоимости кредитных и некредитных финансовых организаций</w:t>
            </w:r>
          </w:p>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Инвестиции, их классификация и экономическое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инвестиционная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разработки инвестиционной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Инвестиционный процесс и инвестиционный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инвестиционного дохода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инвестиций и их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государства в обеспечении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Стратегические основы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Индикаторы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инвестиционных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инвестиционныи потрфелем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реализации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Инвестиционный портфель и управление им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эффективности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Страхование инвестиционных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Портфельные инвестиции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01.3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Инвестиции, их классификация и экономическое содержание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инвестиций</w:t>
            </w:r>
          </w:p>
          <w:p>
            <w:pPr>
              <w:jc w:val="both"/>
              <w:spacing w:after="0" w:line="240" w:lineRule="auto"/>
              <w:rPr>
                <w:sz w:val="24"/>
                <w:szCs w:val="24"/>
              </w:rPr>
            </w:pPr>
            <w:r>
              <w:rPr>
                <w:rFonts w:ascii="Times New Roman" w:hAnsi="Times New Roman" w:cs="Times New Roman"/>
                <w:color w:val="#000000"/>
                <w:sz w:val="24"/>
                <w:szCs w:val="24"/>
              </w:rPr>
              <w:t> Классификация инвестиций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инвестиционная политика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Инвестиционная политика</w:t>
            </w:r>
          </w:p>
          <w:p>
            <w:pPr>
              <w:jc w:val="both"/>
              <w:spacing w:after="0" w:line="240" w:lineRule="auto"/>
              <w:rPr>
                <w:sz w:val="24"/>
                <w:szCs w:val="24"/>
              </w:rPr>
            </w:pPr>
            <w:r>
              <w:rPr>
                <w:rFonts w:ascii="Times New Roman" w:hAnsi="Times New Roman" w:cs="Times New Roman"/>
                <w:color w:val="#000000"/>
                <w:sz w:val="24"/>
                <w:szCs w:val="24"/>
              </w:rPr>
              <w:t> Государство и инвестиции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разработки инвестиционной стратегии</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Инвестиционные стратегии</w:t>
            </w:r>
          </w:p>
          <w:p>
            <w:pPr>
              <w:jc w:val="both"/>
              <w:spacing w:after="0" w:line="240" w:lineRule="auto"/>
              <w:rPr>
                <w:sz w:val="24"/>
                <w:szCs w:val="24"/>
              </w:rPr>
            </w:pPr>
            <w:r>
              <w:rPr>
                <w:rFonts w:ascii="Times New Roman" w:hAnsi="Times New Roman" w:cs="Times New Roman"/>
                <w:color w:val="#000000"/>
                <w:sz w:val="24"/>
                <w:szCs w:val="24"/>
              </w:rPr>
              <w:t> Этапы инвестиционных стратегий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Инвестиционный процесс и инвестиционный рынок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Инвестиционный процесс</w:t>
            </w:r>
          </w:p>
          <w:p>
            <w:pPr>
              <w:jc w:val="both"/>
              <w:spacing w:after="0" w:line="240" w:lineRule="auto"/>
              <w:rPr>
                <w:sz w:val="24"/>
                <w:szCs w:val="24"/>
              </w:rPr>
            </w:pPr>
            <w:r>
              <w:rPr>
                <w:rFonts w:ascii="Times New Roman" w:hAnsi="Times New Roman" w:cs="Times New Roman"/>
                <w:color w:val="#000000"/>
                <w:sz w:val="24"/>
                <w:szCs w:val="24"/>
              </w:rPr>
              <w:t> Инвестиционный рынок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инвестиционного дохода и риска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Инвестиционный доход</w:t>
            </w:r>
          </w:p>
          <w:p>
            <w:pPr>
              <w:jc w:val="both"/>
              <w:spacing w:after="0" w:line="240" w:lineRule="auto"/>
              <w:rPr>
                <w:sz w:val="24"/>
                <w:szCs w:val="24"/>
              </w:rPr>
            </w:pPr>
            <w:r>
              <w:rPr>
                <w:rFonts w:ascii="Times New Roman" w:hAnsi="Times New Roman" w:cs="Times New Roman"/>
                <w:color w:val="#000000"/>
                <w:sz w:val="24"/>
                <w:szCs w:val="24"/>
              </w:rPr>
              <w:t> Инвестиционный риск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инвестиционного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Инвестиционный проект</w:t>
            </w:r>
          </w:p>
          <w:p>
            <w:pPr>
              <w:jc w:val="both"/>
              <w:spacing w:after="0" w:line="240" w:lineRule="auto"/>
              <w:rPr>
                <w:sz w:val="24"/>
                <w:szCs w:val="24"/>
              </w:rPr>
            </w:pPr>
            <w:r>
              <w:rPr>
                <w:rFonts w:ascii="Times New Roman" w:hAnsi="Times New Roman" w:cs="Times New Roman"/>
                <w:color w:val="#000000"/>
                <w:sz w:val="24"/>
                <w:szCs w:val="24"/>
              </w:rPr>
              <w:t> Бизнес-план проекта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инвестиционного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оценки проекта</w:t>
            </w:r>
          </w:p>
          <w:p>
            <w:pPr>
              <w:jc w:val="both"/>
              <w:spacing w:after="0" w:line="240" w:lineRule="auto"/>
              <w:rPr>
                <w:sz w:val="24"/>
                <w:szCs w:val="24"/>
              </w:rPr>
            </w:pPr>
            <w:r>
              <w:rPr>
                <w:rFonts w:ascii="Times New Roman" w:hAnsi="Times New Roman" w:cs="Times New Roman"/>
                <w:color w:val="#000000"/>
                <w:sz w:val="24"/>
                <w:szCs w:val="24"/>
              </w:rPr>
              <w:t> Социализация инвестиционных проектов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реализации инвестиционного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Страхование инвестиционных рисков</w:t>
            </w:r>
          </w:p>
          <w:p>
            <w:pPr>
              <w:jc w:val="both"/>
              <w:spacing w:after="0" w:line="240" w:lineRule="auto"/>
              <w:rPr>
                <w:sz w:val="24"/>
                <w:szCs w:val="24"/>
              </w:rPr>
            </w:pPr>
            <w:r>
              <w:rPr>
                <w:rFonts w:ascii="Times New Roman" w:hAnsi="Times New Roman" w:cs="Times New Roman"/>
                <w:color w:val="#000000"/>
                <w:sz w:val="24"/>
                <w:szCs w:val="24"/>
              </w:rPr>
              <w:t> Эффективность реализации проекта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Инвестиционный портфель и управление им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инвестиционного портфеля</w:t>
            </w:r>
          </w:p>
          <w:p>
            <w:pPr>
              <w:jc w:val="both"/>
              <w:spacing w:after="0" w:line="240" w:lineRule="auto"/>
              <w:rPr>
                <w:sz w:val="24"/>
                <w:szCs w:val="24"/>
              </w:rPr>
            </w:pPr>
            <w:r>
              <w:rPr>
                <w:rFonts w:ascii="Times New Roman" w:hAnsi="Times New Roman" w:cs="Times New Roman"/>
                <w:color w:val="#000000"/>
                <w:sz w:val="24"/>
                <w:szCs w:val="24"/>
              </w:rPr>
              <w:t> Управление инвестиционным портфелем</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инвестиций и их структура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Положения инвестиционного процесса</w:t>
            </w:r>
          </w:p>
          <w:p>
            <w:pPr>
              <w:jc w:val="left"/>
              <w:spacing w:after="0" w:line="240" w:lineRule="auto"/>
              <w:rPr>
                <w:sz w:val="24"/>
                <w:szCs w:val="24"/>
              </w:rPr>
            </w:pPr>
            <w:r>
              <w:rPr>
                <w:rFonts w:ascii="Times New Roman" w:hAnsi="Times New Roman" w:cs="Times New Roman"/>
                <w:color w:val="#000000"/>
                <w:sz w:val="24"/>
                <w:szCs w:val="24"/>
              </w:rPr>
              <w:t> Характер инвестиционной деятельности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государства в обеспечении инвестиций</w:t>
            </w:r>
          </w:p>
        </w:tc>
      </w:tr>
      <w:tr>
        <w:trPr>
          <w:trHeight w:hRule="exact" w:val="21.31518"/>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инвестиционный проект</w:t>
            </w:r>
          </w:p>
          <w:p>
            <w:pPr>
              <w:jc w:val="left"/>
              <w:spacing w:after="0" w:line="240" w:lineRule="auto"/>
              <w:rPr>
                <w:sz w:val="24"/>
                <w:szCs w:val="24"/>
              </w:rPr>
            </w:pPr>
            <w:r>
              <w:rPr>
                <w:rFonts w:ascii="Times New Roman" w:hAnsi="Times New Roman" w:cs="Times New Roman"/>
                <w:color w:val="#000000"/>
                <w:sz w:val="24"/>
                <w:szCs w:val="24"/>
              </w:rPr>
              <w:t> Источники инвестиций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Стратегические основы инвестирования</w:t>
            </w:r>
          </w:p>
        </w:tc>
      </w:tr>
      <w:tr>
        <w:trPr>
          <w:trHeight w:hRule="exact" w:val="21.31501"/>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инвестиций и ее фазы</w:t>
            </w:r>
          </w:p>
          <w:p>
            <w:pPr>
              <w:jc w:val="left"/>
              <w:spacing w:after="0" w:line="240" w:lineRule="auto"/>
              <w:rPr>
                <w:sz w:val="24"/>
                <w:szCs w:val="24"/>
              </w:rPr>
            </w:pPr>
            <w:r>
              <w:rPr>
                <w:rFonts w:ascii="Times New Roman" w:hAnsi="Times New Roman" w:cs="Times New Roman"/>
                <w:color w:val="#000000"/>
                <w:sz w:val="24"/>
                <w:szCs w:val="24"/>
              </w:rPr>
              <w:t> Оценка инвестиционных проектов</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Индикаторы инвестиционного рынка</w:t>
            </w:r>
          </w:p>
        </w:tc>
      </w:tr>
      <w:tr>
        <w:trPr>
          <w:trHeight w:hRule="exact" w:val="21.3150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современного инвестиционного рынка</w:t>
            </w:r>
          </w:p>
          <w:p>
            <w:pPr>
              <w:jc w:val="left"/>
              <w:spacing w:after="0" w:line="240" w:lineRule="auto"/>
              <w:rPr>
                <w:sz w:val="24"/>
                <w:szCs w:val="24"/>
              </w:rPr>
            </w:pPr>
            <w:r>
              <w:rPr>
                <w:rFonts w:ascii="Times New Roman" w:hAnsi="Times New Roman" w:cs="Times New Roman"/>
                <w:color w:val="#000000"/>
                <w:sz w:val="24"/>
                <w:szCs w:val="24"/>
              </w:rPr>
              <w:t> Инвестиционный продукт</w:t>
            </w: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инвестиционных рисков</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Чистая приведенная стоимость</w:t>
            </w:r>
          </w:p>
          <w:p>
            <w:pPr>
              <w:jc w:val="left"/>
              <w:spacing w:after="0" w:line="240" w:lineRule="auto"/>
              <w:rPr>
                <w:sz w:val="24"/>
                <w:szCs w:val="24"/>
              </w:rPr>
            </w:pPr>
            <w:r>
              <w:rPr>
                <w:rFonts w:ascii="Times New Roman" w:hAnsi="Times New Roman" w:cs="Times New Roman"/>
                <w:color w:val="#000000"/>
                <w:sz w:val="24"/>
                <w:szCs w:val="24"/>
              </w:rPr>
              <w:t> Инвестиционный поток</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 инвестиционного проекта</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 рентабельности</w:t>
            </w:r>
          </w:p>
          <w:p>
            <w:pPr>
              <w:jc w:val="left"/>
              <w:spacing w:after="0" w:line="240" w:lineRule="auto"/>
              <w:rPr>
                <w:sz w:val="24"/>
                <w:szCs w:val="24"/>
              </w:rPr>
            </w:pPr>
            <w:r>
              <w:rPr>
                <w:rFonts w:ascii="Times New Roman" w:hAnsi="Times New Roman" w:cs="Times New Roman"/>
                <w:color w:val="#000000"/>
                <w:sz w:val="24"/>
                <w:szCs w:val="24"/>
              </w:rPr>
              <w:t> Норма доходности</w:t>
            </w:r>
          </w:p>
        </w:tc>
      </w:tr>
      <w:tr>
        <w:trPr>
          <w:trHeight w:hRule="exact" w:val="8.085045"/>
        </w:trPr>
        <w:tc>
          <w:tcPr>
            <w:tcW w:w="285" w:type="dxa"/>
          </w:tcPr>
          <w:p/>
        </w:tc>
        <w:tc>
          <w:tcPr>
            <w:tcW w:w="9356" w:type="dxa"/>
          </w:tcPr>
          <w:p/>
        </w:tc>
      </w:tr>
      <w:tr>
        <w:trPr>
          <w:trHeight w:hRule="exact" w:val="314.58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эффективности инвестиционных проектов</w:t>
            </w:r>
          </w:p>
        </w:tc>
      </w:tr>
      <w:tr>
        <w:trPr>
          <w:trHeight w:hRule="exact" w:val="21.31473"/>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Марковица</w:t>
            </w:r>
          </w:p>
          <w:p>
            <w:pPr>
              <w:jc w:val="left"/>
              <w:spacing w:after="0" w:line="240" w:lineRule="auto"/>
              <w:rPr>
                <w:sz w:val="24"/>
                <w:szCs w:val="24"/>
              </w:rPr>
            </w:pPr>
            <w:r>
              <w:rPr>
                <w:rFonts w:ascii="Times New Roman" w:hAnsi="Times New Roman" w:cs="Times New Roman"/>
                <w:color w:val="#000000"/>
                <w:sz w:val="24"/>
                <w:szCs w:val="24"/>
              </w:rPr>
              <w:t> Модель Шарпа</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Страхование инвестиционных рисков</w:t>
            </w:r>
          </w:p>
        </w:tc>
      </w:tr>
      <w:tr>
        <w:trPr>
          <w:trHeight w:hRule="exact" w:val="21.31518"/>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Количественная и качественная оценка рисков</w:t>
            </w:r>
          </w:p>
          <w:p>
            <w:pPr>
              <w:jc w:val="left"/>
              <w:spacing w:after="0" w:line="240" w:lineRule="auto"/>
              <w:rPr>
                <w:sz w:val="24"/>
                <w:szCs w:val="24"/>
              </w:rPr>
            </w:pPr>
            <w:r>
              <w:rPr>
                <w:rFonts w:ascii="Times New Roman" w:hAnsi="Times New Roman" w:cs="Times New Roman"/>
                <w:color w:val="#000000"/>
                <w:sz w:val="24"/>
                <w:szCs w:val="24"/>
              </w:rPr>
              <w:t> Модели снижения рисков</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Портфельные инвестиции</w:t>
            </w:r>
          </w:p>
        </w:tc>
      </w:tr>
      <w:tr>
        <w:trPr>
          <w:trHeight w:hRule="exact" w:val="21.31518"/>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Цена отчуждения портфеля</w:t>
            </w:r>
          </w:p>
          <w:p>
            <w:pPr>
              <w:jc w:val="left"/>
              <w:spacing w:after="0" w:line="240" w:lineRule="auto"/>
              <w:rPr>
                <w:sz w:val="24"/>
                <w:szCs w:val="24"/>
              </w:rPr>
            </w:pPr>
            <w:r>
              <w:rPr>
                <w:rFonts w:ascii="Times New Roman" w:hAnsi="Times New Roman" w:cs="Times New Roman"/>
                <w:color w:val="#000000"/>
                <w:sz w:val="24"/>
                <w:szCs w:val="24"/>
              </w:rPr>
              <w:t> Портфель и дюрация</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«Инвестиции и управление инвестиционным портфелем»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инвестициями:</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инвестиционные</w:t>
            </w:r>
            <w:r>
              <w:rPr/>
              <w:t xml:space="preserve"> </w:t>
            </w:r>
            <w:r>
              <w:rPr>
                <w:rFonts w:ascii="Times New Roman" w:hAnsi="Times New Roman" w:cs="Times New Roman"/>
                <w:color w:val="#000000"/>
                <w:sz w:val="24"/>
                <w:szCs w:val="24"/>
              </w:rPr>
              <w:t>риски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реальном</w:t>
            </w:r>
            <w:r>
              <w:rPr/>
              <w:t xml:space="preserve"> </w:t>
            </w:r>
            <w:r>
              <w:rPr>
                <w:rFonts w:ascii="Times New Roman" w:hAnsi="Times New Roman" w:cs="Times New Roman"/>
                <w:color w:val="#000000"/>
                <w:sz w:val="24"/>
                <w:szCs w:val="24"/>
              </w:rPr>
              <w:t>секторе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https://urait.ru/bcode/458850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p>
        </w:tc>
      </w:tr>
      <w:tr>
        <w:trPr>
          <w:trHeight w:hRule="exact" w:val="447.910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https://urait.ru/bcode/466270</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978-5-534-10389-2.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https://urait.ru/bcode/452513</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00.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15.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78.96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2024-2025_ФГОС3++2024_Бак-ЗФО-Э(БАиОСИ)(24)_plx_Инвестиции и управление инвестиционным портфелем</dc:title>
  <dc:creator>FastReport.NET</dc:creator>
</cp:coreProperties>
</file>